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9EFB003"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r>
        <w:rPr>
          <w:rFonts w:ascii="Arial" w:hAnsi="Arial" w:cs="Arial"/>
          <w:b/>
        </w:rPr>
        <w:t>Supply and Delivery of</w:t>
      </w:r>
      <w:bookmarkEnd w:id="5"/>
      <w:bookmarkEnd w:id="6"/>
      <w:r>
        <w:rPr>
          <w:rFonts w:ascii="Arial" w:hAnsi="Arial" w:cs="Arial"/>
          <w:b/>
        </w:rPr>
        <w:t xml:space="preserve"> Various </w:t>
      </w:r>
      <w:r w:rsidR="001221EF">
        <w:rPr>
          <w:rFonts w:ascii="Arial" w:hAnsi="Arial" w:cs="Arial"/>
          <w:b/>
        </w:rPr>
        <w:t>Medical Supplies</w:t>
      </w:r>
      <w:r>
        <w:rPr>
          <w:rFonts w:ascii="Arial" w:hAnsi="Arial" w:cs="Arial"/>
          <w:b/>
        </w:rPr>
        <w:t xml:space="preserve"> at </w:t>
      </w:r>
      <w:bookmarkEnd w:id="7"/>
      <w:bookmarkEnd w:id="8"/>
      <w:bookmarkEnd w:id="9"/>
      <w:r w:rsidR="00C3311B">
        <w:rPr>
          <w:rFonts w:ascii="Arial" w:hAnsi="Arial" w:cs="Arial"/>
          <w:b/>
        </w:rPr>
        <w:t xml:space="preserve">Provincial Governor’s Office, Lingayen, Pangasinan (for use of various hospitals – </w:t>
      </w:r>
      <w:proofErr w:type="spellStart"/>
      <w:r w:rsidR="00C3311B">
        <w:rPr>
          <w:rFonts w:ascii="Arial" w:hAnsi="Arial" w:cs="Arial"/>
          <w:b/>
        </w:rPr>
        <w:t>Asingan</w:t>
      </w:r>
      <w:proofErr w:type="spellEnd"/>
      <w:r w:rsidR="00C3311B">
        <w:rPr>
          <w:rFonts w:ascii="Arial" w:hAnsi="Arial" w:cs="Arial"/>
          <w:b/>
        </w:rPr>
        <w:t xml:space="preserve"> Community Hospital,</w:t>
      </w:r>
      <w:r w:rsidR="00C3311B" w:rsidRPr="00C3311B">
        <w:rPr>
          <w:rFonts w:ascii="Arial" w:hAnsi="Arial" w:cs="Arial"/>
          <w:b/>
        </w:rPr>
        <w:t xml:space="preserve"> </w:t>
      </w:r>
      <w:proofErr w:type="spellStart"/>
      <w:r w:rsidR="00C3311B">
        <w:rPr>
          <w:rFonts w:ascii="Arial" w:hAnsi="Arial" w:cs="Arial"/>
          <w:b/>
        </w:rPr>
        <w:t>Bolinao</w:t>
      </w:r>
      <w:proofErr w:type="spellEnd"/>
      <w:r w:rsidR="00C3311B">
        <w:rPr>
          <w:rFonts w:ascii="Arial" w:hAnsi="Arial" w:cs="Arial"/>
          <w:b/>
        </w:rPr>
        <w:t xml:space="preserve"> Community Hospital, </w:t>
      </w:r>
      <w:proofErr w:type="spellStart"/>
      <w:r w:rsidR="00C3311B" w:rsidRPr="00230CF1">
        <w:rPr>
          <w:rFonts w:ascii="Arial" w:hAnsi="Arial" w:cs="Arial"/>
          <w:b/>
        </w:rPr>
        <w:t>Bayambang</w:t>
      </w:r>
      <w:proofErr w:type="spellEnd"/>
      <w:r w:rsidR="00C3311B" w:rsidRPr="00230CF1">
        <w:rPr>
          <w:rFonts w:ascii="Arial" w:hAnsi="Arial" w:cs="Arial"/>
          <w:b/>
        </w:rPr>
        <w:t xml:space="preserve"> District Hospital</w:t>
      </w:r>
      <w:r w:rsidR="001221EF">
        <w:rPr>
          <w:rFonts w:ascii="Arial" w:hAnsi="Arial" w:cs="Arial"/>
          <w:b/>
        </w:rPr>
        <w:t xml:space="preserve">, </w:t>
      </w:r>
      <w:proofErr w:type="spellStart"/>
      <w:r w:rsidR="001221EF">
        <w:rPr>
          <w:rFonts w:ascii="Arial" w:hAnsi="Arial" w:cs="Arial"/>
          <w:b/>
        </w:rPr>
        <w:t>Dasol</w:t>
      </w:r>
      <w:proofErr w:type="spellEnd"/>
      <w:r w:rsidR="001221EF">
        <w:rPr>
          <w:rFonts w:ascii="Arial" w:hAnsi="Arial" w:cs="Arial"/>
          <w:b/>
        </w:rPr>
        <w:t xml:space="preserve"> Community Hospital, </w:t>
      </w:r>
      <w:r w:rsidR="001221EF" w:rsidRPr="00230CF1">
        <w:rPr>
          <w:rFonts w:ascii="Arial" w:hAnsi="Arial" w:cs="Arial"/>
          <w:b/>
        </w:rPr>
        <w:t>Eastern Pangasinan District Hospital</w:t>
      </w:r>
      <w:r w:rsidR="001221EF">
        <w:rPr>
          <w:rFonts w:ascii="Arial" w:hAnsi="Arial" w:cs="Arial"/>
          <w:b/>
        </w:rPr>
        <w:t xml:space="preserve">, </w:t>
      </w:r>
      <w:r w:rsidR="001221EF" w:rsidRPr="00230CF1">
        <w:rPr>
          <w:rFonts w:ascii="Arial" w:hAnsi="Arial" w:cs="Arial"/>
          <w:b/>
        </w:rPr>
        <w:t>Lingayen District Hospital</w:t>
      </w:r>
      <w:r w:rsidR="001221EF">
        <w:rPr>
          <w:rFonts w:ascii="Arial" w:hAnsi="Arial" w:cs="Arial"/>
          <w:b/>
        </w:rPr>
        <w:t xml:space="preserve">, </w:t>
      </w:r>
      <w:proofErr w:type="spellStart"/>
      <w:r w:rsidR="001221EF">
        <w:rPr>
          <w:rFonts w:ascii="Arial" w:hAnsi="Arial" w:cs="Arial"/>
          <w:b/>
        </w:rPr>
        <w:t>Manaoag</w:t>
      </w:r>
      <w:proofErr w:type="spellEnd"/>
      <w:r w:rsidR="001221EF">
        <w:rPr>
          <w:rFonts w:ascii="Arial" w:hAnsi="Arial" w:cs="Arial"/>
          <w:b/>
        </w:rPr>
        <w:t xml:space="preserve"> Community Hospital, </w:t>
      </w:r>
      <w:r w:rsidR="00C3311B">
        <w:rPr>
          <w:rFonts w:ascii="Arial" w:hAnsi="Arial" w:cs="Arial"/>
          <w:b/>
        </w:rPr>
        <w:t xml:space="preserve"> </w:t>
      </w:r>
      <w:proofErr w:type="spellStart"/>
      <w:r w:rsidR="001360DE">
        <w:rPr>
          <w:rFonts w:ascii="Arial" w:hAnsi="Arial" w:cs="Arial"/>
          <w:b/>
        </w:rPr>
        <w:t>Mapandan</w:t>
      </w:r>
      <w:proofErr w:type="spellEnd"/>
      <w:r w:rsidR="001360DE">
        <w:rPr>
          <w:rFonts w:ascii="Arial" w:hAnsi="Arial" w:cs="Arial"/>
          <w:b/>
        </w:rPr>
        <w:t xml:space="preserve"> Community Hospital, </w:t>
      </w:r>
      <w:proofErr w:type="spellStart"/>
      <w:r w:rsidR="001221EF">
        <w:rPr>
          <w:rFonts w:ascii="Arial" w:hAnsi="Arial" w:cs="Arial"/>
          <w:b/>
        </w:rPr>
        <w:t>Pozorrubio</w:t>
      </w:r>
      <w:proofErr w:type="spellEnd"/>
      <w:r w:rsidR="001221EF">
        <w:rPr>
          <w:rFonts w:ascii="Arial" w:hAnsi="Arial" w:cs="Arial"/>
          <w:b/>
        </w:rPr>
        <w:t xml:space="preserve"> Community Hospital, Pangasinan Provincial Hospital, </w:t>
      </w:r>
      <w:r w:rsidR="001221EF" w:rsidRPr="00230CF1">
        <w:rPr>
          <w:rFonts w:ascii="Arial" w:hAnsi="Arial" w:cs="Arial"/>
          <w:b/>
        </w:rPr>
        <w:t>Urdaneta District Hospital</w:t>
      </w:r>
      <w:r w:rsidR="001221EF">
        <w:rPr>
          <w:rFonts w:ascii="Arial" w:hAnsi="Arial" w:cs="Arial"/>
          <w:b/>
        </w:rPr>
        <w:t xml:space="preserve"> </w:t>
      </w:r>
      <w:r w:rsidR="001221EF" w:rsidRPr="001221EF">
        <w:rPr>
          <w:rFonts w:ascii="Arial" w:hAnsi="Arial" w:cs="Arial"/>
          <w:b/>
        </w:rPr>
        <w:t>and Western Pangasinan District Hospital</w:t>
      </w:r>
      <w:r w:rsidR="001221EF">
        <w:rPr>
          <w:rFonts w:ascii="Arial" w:hAnsi="Arial" w:cs="Arial"/>
          <w:b/>
        </w:rPr>
        <w:t>)</w:t>
      </w:r>
      <w:bookmarkEnd w:id="10"/>
    </w:p>
    <w:bookmarkEnd w:id="11"/>
    <w:p w14:paraId="71005B12" w14:textId="77777777" w:rsidR="00EC46FD" w:rsidRDefault="00EC46FD">
      <w:pPr>
        <w:pStyle w:val="BodyText"/>
        <w:jc w:val="center"/>
        <w:rPr>
          <w:rFonts w:ascii="Arial" w:hAnsi="Arial" w:cs="Arial"/>
          <w:sz w:val="22"/>
          <w:szCs w:val="22"/>
        </w:rPr>
      </w:pPr>
    </w:p>
    <w:p w14:paraId="35B2B587" w14:textId="7D80F03F"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3B1BFB">
        <w:rPr>
          <w:rFonts w:ascii="Arial" w:hAnsi="Arial" w:cs="Arial"/>
          <w:sz w:val="22"/>
          <w:szCs w:val="22"/>
        </w:rPr>
        <w:t>4</w:t>
      </w:r>
      <w:r w:rsidR="001221EF">
        <w:rPr>
          <w:rFonts w:ascii="Arial" w:hAnsi="Arial" w:cs="Arial"/>
          <w:sz w:val="22"/>
          <w:szCs w:val="22"/>
        </w:rPr>
        <w:t>5</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17416349"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w:t>
      </w:r>
      <w:r w:rsidR="003B1BFB">
        <w:rPr>
          <w:rFonts w:ascii="Arial" w:hAnsi="Arial" w:cs="Arial"/>
          <w:b/>
          <w:sz w:val="21"/>
          <w:szCs w:val="21"/>
        </w:rPr>
        <w:t>2</w:t>
      </w:r>
      <w:r>
        <w:rPr>
          <w:rFonts w:ascii="Arial" w:hAnsi="Arial" w:cs="Arial"/>
          <w:b/>
          <w:sz w:val="21"/>
          <w:szCs w:val="21"/>
        </w:rPr>
        <w:t>-0</w:t>
      </w:r>
      <w:r w:rsidR="003B1BFB">
        <w:rPr>
          <w:rFonts w:ascii="Arial" w:hAnsi="Arial" w:cs="Arial"/>
          <w:b/>
          <w:sz w:val="21"/>
          <w:szCs w:val="21"/>
        </w:rPr>
        <w:t>4</w:t>
      </w:r>
      <w:r w:rsidR="001221EF">
        <w:rPr>
          <w:rFonts w:ascii="Arial" w:hAnsi="Arial" w:cs="Arial"/>
          <w:b/>
          <w:sz w:val="21"/>
          <w:szCs w:val="21"/>
        </w:rPr>
        <w:t>45</w:t>
      </w:r>
      <w:r>
        <w:rPr>
          <w:rFonts w:ascii="Arial" w:hAnsi="Arial" w:cs="Arial"/>
          <w:b/>
          <w:sz w:val="21"/>
          <w:szCs w:val="21"/>
        </w:rPr>
        <w:t xml:space="preserve">) </w:t>
      </w:r>
      <w:r>
        <w:rPr>
          <w:rFonts w:ascii="Arial" w:hAnsi="Arial" w:cs="Arial"/>
          <w:sz w:val="21"/>
          <w:szCs w:val="21"/>
        </w:rPr>
        <w:t xml:space="preserve">intends to apply the sum of </w:t>
      </w:r>
      <w:r w:rsidR="001221EF">
        <w:rPr>
          <w:rFonts w:ascii="Arial" w:hAnsi="Arial" w:cs="Arial"/>
          <w:b/>
          <w:sz w:val="21"/>
          <w:szCs w:val="21"/>
        </w:rPr>
        <w:t>Thir</w:t>
      </w:r>
      <w:r w:rsidR="003B1BFB">
        <w:rPr>
          <w:rFonts w:ascii="Arial" w:hAnsi="Arial" w:cs="Arial"/>
          <w:b/>
          <w:sz w:val="21"/>
          <w:szCs w:val="21"/>
        </w:rPr>
        <w:t>teen</w:t>
      </w:r>
      <w:r>
        <w:rPr>
          <w:rFonts w:ascii="Arial" w:hAnsi="Arial" w:cs="Arial"/>
          <w:b/>
          <w:sz w:val="21"/>
          <w:szCs w:val="21"/>
        </w:rPr>
        <w:t xml:space="preserve"> Million </w:t>
      </w:r>
      <w:r w:rsidR="001221EF">
        <w:rPr>
          <w:rFonts w:ascii="Arial" w:hAnsi="Arial" w:cs="Arial"/>
          <w:b/>
          <w:sz w:val="21"/>
          <w:szCs w:val="21"/>
        </w:rPr>
        <w:t>Eight</w:t>
      </w:r>
      <w:r>
        <w:rPr>
          <w:rFonts w:ascii="Arial" w:hAnsi="Arial" w:cs="Arial"/>
          <w:b/>
          <w:sz w:val="21"/>
          <w:szCs w:val="21"/>
        </w:rPr>
        <w:t xml:space="preserve"> Hundred </w:t>
      </w:r>
      <w:r w:rsidR="001221EF">
        <w:rPr>
          <w:rFonts w:ascii="Arial" w:hAnsi="Arial" w:cs="Arial"/>
          <w:b/>
          <w:sz w:val="21"/>
          <w:szCs w:val="21"/>
        </w:rPr>
        <w:t>Seventy-Two</w:t>
      </w:r>
      <w:r>
        <w:rPr>
          <w:rFonts w:ascii="Arial" w:hAnsi="Arial" w:cs="Arial"/>
          <w:b/>
          <w:sz w:val="21"/>
          <w:szCs w:val="21"/>
        </w:rPr>
        <w:t xml:space="preserve"> Thousand </w:t>
      </w:r>
      <w:r w:rsidR="001221EF">
        <w:rPr>
          <w:rFonts w:ascii="Arial" w:hAnsi="Arial" w:cs="Arial"/>
          <w:b/>
          <w:sz w:val="21"/>
          <w:szCs w:val="21"/>
        </w:rPr>
        <w:t xml:space="preserve">Four </w:t>
      </w:r>
      <w:r w:rsidR="003B1BFB">
        <w:rPr>
          <w:rFonts w:ascii="Arial" w:hAnsi="Arial" w:cs="Arial"/>
          <w:b/>
          <w:sz w:val="21"/>
          <w:szCs w:val="21"/>
        </w:rPr>
        <w:t xml:space="preserve">Hundred </w:t>
      </w:r>
      <w:r w:rsidR="001221EF">
        <w:rPr>
          <w:rFonts w:ascii="Arial" w:hAnsi="Arial" w:cs="Arial"/>
          <w:b/>
          <w:sz w:val="21"/>
          <w:szCs w:val="21"/>
        </w:rPr>
        <w:t xml:space="preserve">Thirty-Three </w:t>
      </w:r>
      <w:r>
        <w:rPr>
          <w:rFonts w:ascii="Arial" w:hAnsi="Arial" w:cs="Arial"/>
          <w:b/>
          <w:sz w:val="21"/>
          <w:szCs w:val="21"/>
        </w:rPr>
        <w:t>Pesos</w:t>
      </w:r>
      <w:r w:rsidR="001221EF">
        <w:rPr>
          <w:rFonts w:ascii="Arial" w:hAnsi="Arial" w:cs="Arial"/>
          <w:b/>
          <w:sz w:val="21"/>
          <w:szCs w:val="21"/>
        </w:rPr>
        <w:t xml:space="preserve"> &amp; 26/100</w:t>
      </w:r>
      <w:r w:rsidR="00D21B37">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1221EF">
        <w:rPr>
          <w:rFonts w:ascii="Arial" w:hAnsi="Arial" w:cs="Arial"/>
          <w:b/>
          <w:sz w:val="21"/>
          <w:szCs w:val="21"/>
        </w:rPr>
        <w:t>13,872,433.26</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1360DE" w:rsidRPr="001360DE">
        <w:rPr>
          <w:rFonts w:ascii="Arial" w:hAnsi="Arial"/>
          <w:b/>
          <w:sz w:val="21"/>
          <w:szCs w:val="21"/>
        </w:rPr>
        <w:t xml:space="preserve">Supply and Delivery of Various Medical Supplies at Provincial Governor’s Office, Lingayen, Pangasinan (for use of various hospitals – </w:t>
      </w:r>
      <w:proofErr w:type="spellStart"/>
      <w:r w:rsidR="001360DE" w:rsidRPr="001360DE">
        <w:rPr>
          <w:rFonts w:ascii="Arial" w:hAnsi="Arial"/>
          <w:b/>
          <w:sz w:val="21"/>
          <w:szCs w:val="21"/>
        </w:rPr>
        <w:t>Asingan</w:t>
      </w:r>
      <w:proofErr w:type="spellEnd"/>
      <w:r w:rsidR="001360DE" w:rsidRPr="001360DE">
        <w:rPr>
          <w:rFonts w:ascii="Arial" w:hAnsi="Arial"/>
          <w:b/>
          <w:sz w:val="21"/>
          <w:szCs w:val="21"/>
        </w:rPr>
        <w:t xml:space="preserve"> Community Hospital, </w:t>
      </w:r>
      <w:proofErr w:type="spellStart"/>
      <w:r w:rsidR="001360DE" w:rsidRPr="001360DE">
        <w:rPr>
          <w:rFonts w:ascii="Arial" w:hAnsi="Arial"/>
          <w:b/>
          <w:sz w:val="21"/>
          <w:szCs w:val="21"/>
        </w:rPr>
        <w:t>Bolinao</w:t>
      </w:r>
      <w:proofErr w:type="spellEnd"/>
      <w:r w:rsidR="001360DE" w:rsidRPr="001360DE">
        <w:rPr>
          <w:rFonts w:ascii="Arial" w:hAnsi="Arial"/>
          <w:b/>
          <w:sz w:val="21"/>
          <w:szCs w:val="21"/>
        </w:rPr>
        <w:t xml:space="preserve"> Community Hospital, </w:t>
      </w:r>
      <w:proofErr w:type="spellStart"/>
      <w:r w:rsidR="001360DE" w:rsidRPr="001360DE">
        <w:rPr>
          <w:rFonts w:ascii="Arial" w:hAnsi="Arial"/>
          <w:b/>
          <w:sz w:val="21"/>
          <w:szCs w:val="21"/>
        </w:rPr>
        <w:t>Bayambang</w:t>
      </w:r>
      <w:proofErr w:type="spellEnd"/>
      <w:r w:rsidR="001360DE" w:rsidRPr="001360DE">
        <w:rPr>
          <w:rFonts w:ascii="Arial" w:hAnsi="Arial"/>
          <w:b/>
          <w:sz w:val="21"/>
          <w:szCs w:val="21"/>
        </w:rPr>
        <w:t xml:space="preserve"> District Hospital, </w:t>
      </w:r>
      <w:proofErr w:type="spellStart"/>
      <w:r w:rsidR="001360DE" w:rsidRPr="001360DE">
        <w:rPr>
          <w:rFonts w:ascii="Arial" w:hAnsi="Arial"/>
          <w:b/>
          <w:sz w:val="21"/>
          <w:szCs w:val="21"/>
        </w:rPr>
        <w:t>Dasol</w:t>
      </w:r>
      <w:proofErr w:type="spellEnd"/>
      <w:r w:rsidR="001360DE" w:rsidRPr="001360DE">
        <w:rPr>
          <w:rFonts w:ascii="Arial" w:hAnsi="Arial"/>
          <w:b/>
          <w:sz w:val="21"/>
          <w:szCs w:val="21"/>
        </w:rPr>
        <w:t xml:space="preserve"> Community Hospital, Eastern Pangasinan District Hospital, Lingayen District Hospital, </w:t>
      </w:r>
      <w:proofErr w:type="spellStart"/>
      <w:r w:rsidR="001360DE" w:rsidRPr="001360DE">
        <w:rPr>
          <w:rFonts w:ascii="Arial" w:hAnsi="Arial"/>
          <w:b/>
          <w:sz w:val="21"/>
          <w:szCs w:val="21"/>
        </w:rPr>
        <w:t>Manaoag</w:t>
      </w:r>
      <w:proofErr w:type="spellEnd"/>
      <w:r w:rsidR="001360DE" w:rsidRPr="001360DE">
        <w:rPr>
          <w:rFonts w:ascii="Arial" w:hAnsi="Arial"/>
          <w:b/>
          <w:sz w:val="21"/>
          <w:szCs w:val="21"/>
        </w:rPr>
        <w:t xml:space="preserve"> Community Hospital,  </w:t>
      </w:r>
      <w:proofErr w:type="spellStart"/>
      <w:r w:rsidR="001360DE" w:rsidRPr="001360DE">
        <w:rPr>
          <w:rFonts w:ascii="Arial" w:hAnsi="Arial"/>
          <w:b/>
          <w:sz w:val="21"/>
          <w:szCs w:val="21"/>
        </w:rPr>
        <w:t>Mapandan</w:t>
      </w:r>
      <w:proofErr w:type="spellEnd"/>
      <w:r w:rsidR="001360DE" w:rsidRPr="001360DE">
        <w:rPr>
          <w:rFonts w:ascii="Arial" w:hAnsi="Arial"/>
          <w:b/>
          <w:sz w:val="21"/>
          <w:szCs w:val="21"/>
        </w:rPr>
        <w:t xml:space="preserve"> Community Hospital, </w:t>
      </w:r>
      <w:proofErr w:type="spellStart"/>
      <w:r w:rsidR="001360DE" w:rsidRPr="001360DE">
        <w:rPr>
          <w:rFonts w:ascii="Arial" w:hAnsi="Arial"/>
          <w:b/>
          <w:sz w:val="21"/>
          <w:szCs w:val="21"/>
        </w:rPr>
        <w:t>Pozorrubio</w:t>
      </w:r>
      <w:proofErr w:type="spellEnd"/>
      <w:r w:rsidR="001360DE" w:rsidRPr="001360DE">
        <w:rPr>
          <w:rFonts w:ascii="Arial" w:hAnsi="Arial"/>
          <w:b/>
          <w:sz w:val="21"/>
          <w:szCs w:val="21"/>
        </w:rPr>
        <w:t xml:space="preserve"> Community Hospital, Pangasinan Provincial Hospital, Urdaneta District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E2891A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1221EF">
        <w:rPr>
          <w:rFonts w:ascii="Arial" w:hAnsi="Arial"/>
          <w:b/>
          <w:sz w:val="21"/>
          <w:szCs w:val="21"/>
        </w:rPr>
        <w:t xml:space="preserve">Medical </w:t>
      </w:r>
      <w:r>
        <w:rPr>
          <w:rFonts w:ascii="Arial" w:hAnsi="Arial"/>
          <w:b/>
          <w:sz w:val="21"/>
          <w:szCs w:val="21"/>
        </w:rPr>
        <w: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44B68B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B1BFB" w:rsidRPr="003B1BFB">
        <w:rPr>
          <w:rFonts w:ascii="Arial" w:hAnsi="Arial" w:cs="Arial"/>
          <w:b/>
          <w:sz w:val="21"/>
          <w:szCs w:val="21"/>
        </w:rPr>
        <w:t>February 13, 2024 – March 1, 2024; 8:00 am to 5:00pm and March 4,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51C2B72"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3B1BFB" w:rsidRPr="003B1BFB">
        <w:rPr>
          <w:rFonts w:ascii="Arial" w:hAnsi="Arial" w:cs="Arial"/>
          <w:b/>
          <w:sz w:val="21"/>
          <w:szCs w:val="21"/>
        </w:rPr>
        <w:t>February 13, 2024 – March 1, 2024; 8:00 am to 5:00pm and March 4,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221EF">
        <w:rPr>
          <w:rFonts w:ascii="Arial" w:hAnsi="Arial" w:cs="Arial"/>
          <w:b/>
          <w:sz w:val="21"/>
          <w:szCs w:val="21"/>
        </w:rPr>
        <w:t>Four</w:t>
      </w:r>
      <w:r w:rsidR="00BF4BE8">
        <w:rPr>
          <w:rFonts w:ascii="Arial" w:hAnsi="Arial" w:cs="Arial"/>
          <w:b/>
          <w:sz w:val="21"/>
          <w:szCs w:val="21"/>
        </w:rPr>
        <w:t>teen</w:t>
      </w:r>
      <w:r>
        <w:rPr>
          <w:rFonts w:ascii="Arial" w:hAnsi="Arial" w:cs="Arial"/>
          <w:b/>
          <w:sz w:val="21"/>
          <w:szCs w:val="21"/>
        </w:rPr>
        <w:t xml:space="preserve"> Thousand Pesos (P</w:t>
      </w:r>
      <w:r w:rsidR="006202CD">
        <w:rPr>
          <w:rFonts w:ascii="Arial" w:hAnsi="Arial" w:cs="Arial"/>
          <w:b/>
          <w:sz w:val="21"/>
          <w:szCs w:val="21"/>
        </w:rPr>
        <w:t>1</w:t>
      </w:r>
      <w:r w:rsidR="001221EF">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65D5CC06" w14:textId="77777777" w:rsidR="001221EF" w:rsidRDefault="001221EF">
      <w:pPr>
        <w:pStyle w:val="BodyText"/>
        <w:ind w:left="720"/>
        <w:rPr>
          <w:rFonts w:ascii="Arial" w:hAnsi="Arial" w:cs="Arial"/>
          <w:sz w:val="21"/>
          <w:szCs w:val="21"/>
        </w:rPr>
      </w:pPr>
    </w:p>
    <w:p w14:paraId="7D3B987F" w14:textId="77777777" w:rsidR="001221EF" w:rsidRDefault="001221EF">
      <w:pPr>
        <w:pStyle w:val="BodyText"/>
        <w:ind w:left="720"/>
        <w:rPr>
          <w:rFonts w:ascii="Arial" w:hAnsi="Arial" w:cs="Arial"/>
          <w:sz w:val="21"/>
          <w:szCs w:val="21"/>
        </w:rPr>
      </w:pPr>
    </w:p>
    <w:p w14:paraId="737609C3" w14:textId="77777777" w:rsidR="001221EF" w:rsidRDefault="001221EF">
      <w:pPr>
        <w:pStyle w:val="BodyText"/>
        <w:ind w:left="720"/>
        <w:rPr>
          <w:rFonts w:ascii="Arial" w:hAnsi="Arial" w:cs="Arial"/>
          <w:sz w:val="21"/>
          <w:szCs w:val="21"/>
        </w:rPr>
      </w:pPr>
    </w:p>
    <w:p w14:paraId="1CB946E2" w14:textId="5FD5307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 xml:space="preserve">February </w:t>
      </w:r>
      <w:r w:rsidR="003B1BFB">
        <w:rPr>
          <w:rFonts w:ascii="Arial" w:hAnsi="Arial" w:cs="Arial"/>
          <w:b/>
          <w:sz w:val="21"/>
          <w:szCs w:val="21"/>
        </w:rPr>
        <w:t>21</w:t>
      </w:r>
      <w:r>
        <w:rPr>
          <w:rFonts w:ascii="Arial" w:hAnsi="Arial" w:cs="Arial"/>
          <w:b/>
          <w:sz w:val="21"/>
          <w:szCs w:val="21"/>
        </w:rPr>
        <w:t xml:space="preserve">, 2024; </w:t>
      </w:r>
      <w:r w:rsidR="003B1BFB">
        <w:rPr>
          <w:rFonts w:ascii="Arial" w:hAnsi="Arial" w:cs="Arial"/>
          <w:b/>
          <w:sz w:val="21"/>
          <w:szCs w:val="21"/>
        </w:rPr>
        <w:t>2</w:t>
      </w:r>
      <w:r>
        <w:rPr>
          <w:rFonts w:ascii="Arial" w:hAnsi="Arial" w:cs="Arial"/>
          <w:b/>
          <w:sz w:val="21"/>
          <w:szCs w:val="21"/>
        </w:rPr>
        <w:t xml:space="preserve">:00 </w:t>
      </w:r>
      <w:r w:rsidR="003B1BFB">
        <w:rPr>
          <w:rFonts w:ascii="Arial" w:hAnsi="Arial" w:cs="Arial"/>
          <w:b/>
          <w:sz w:val="21"/>
          <w:szCs w:val="21"/>
        </w:rPr>
        <w:t>p</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0728DFEE" w:rsidR="00ED741F" w:rsidRPr="001221E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2719E389" w14:textId="63541E20"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A052" w14:textId="77777777" w:rsidR="000B7EEA" w:rsidRDefault="000B7EEA">
      <w:r>
        <w:separator/>
      </w:r>
    </w:p>
  </w:endnote>
  <w:endnote w:type="continuationSeparator" w:id="0">
    <w:p w14:paraId="71F0FC5F" w14:textId="77777777" w:rsidR="000B7EEA" w:rsidRDefault="000B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1079" w14:textId="77777777" w:rsidR="000B7EEA" w:rsidRDefault="000B7EEA">
      <w:r>
        <w:separator/>
      </w:r>
    </w:p>
  </w:footnote>
  <w:footnote w:type="continuationSeparator" w:id="0">
    <w:p w14:paraId="3F5B1C93" w14:textId="77777777" w:rsidR="000B7EEA" w:rsidRDefault="000B7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2024-02-12T01:48:00Z</cp:lastPrinted>
  <dcterms:created xsi:type="dcterms:W3CDTF">2024-02-12T08:29:00Z</dcterms:created>
  <dcterms:modified xsi:type="dcterms:W3CDTF">2024-02-12T08:54:00Z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