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29906657"/>
      <w:bookmarkStart w:id="1" w:name="_Hlk119570758"/>
      <w:bookmarkStart w:id="2" w:name="_Hlk144297720"/>
      <w:bookmarkStart w:id="3" w:name="_Hlk110953766"/>
      <w:r>
        <w:rPr>
          <w:rFonts w:ascii="Arial" w:hAnsi="Arial" w:cs="Arial"/>
          <w:b/>
          <w:sz w:val="28"/>
          <w:szCs w:val="28"/>
        </w:rPr>
        <w:t xml:space="preserve">INVITATION TO BID </w:t>
      </w:r>
    </w:p>
    <w:p>
      <w:pPr>
        <w:pStyle w:val="5"/>
        <w:jc w:val="center"/>
        <w:rPr>
          <w:rFonts w:ascii="Arial" w:hAnsi="Arial" w:cs="Arial"/>
          <w:b/>
          <w:sz w:val="28"/>
          <w:szCs w:val="28"/>
        </w:rPr>
      </w:pPr>
      <w:r>
        <w:rPr>
          <w:rFonts w:ascii="Arial" w:hAnsi="Arial" w:cs="Arial"/>
          <w:b/>
          <w:sz w:val="28"/>
          <w:szCs w:val="28"/>
        </w:rPr>
        <w:t>for</w:t>
      </w:r>
      <w:r>
        <w:rPr>
          <w:rFonts w:ascii="Arial" w:hAnsi="Arial" w:cs="Arial"/>
          <w:b/>
          <w:i/>
          <w:sz w:val="28"/>
          <w:szCs w:val="28"/>
        </w:rPr>
        <w:t xml:space="preserve"> </w:t>
      </w:r>
    </w:p>
    <w:p>
      <w:pPr>
        <w:pStyle w:val="5"/>
        <w:jc w:val="center"/>
        <w:rPr>
          <w:rFonts w:hint="default" w:ascii="Arial" w:hAnsi="Arial" w:cs="Arial"/>
          <w:b/>
          <w:lang w:val="en-US"/>
        </w:rPr>
      </w:pPr>
      <w:bookmarkStart w:id="4" w:name="_Hlk144798492"/>
      <w:r>
        <w:rPr>
          <w:rFonts w:hint="default" w:ascii="Arial" w:hAnsi="Arial" w:cs="Arial"/>
          <w:b/>
          <w:lang w:val="en-US"/>
        </w:rPr>
        <w:t>Supply and Delivery of Five (5) Units of Customized Modular Portable Evacuation Center (Container Van) at PDRRMO, Lingayen, Pangasinan (to be serve as Flexible Evacuation Center)</w:t>
      </w:r>
    </w:p>
    <w:bookmarkEnd w:id="4"/>
    <w:p>
      <w:pPr>
        <w:pStyle w:val="5"/>
        <w:jc w:val="center"/>
        <w:rPr>
          <w:rFonts w:ascii="Arial" w:hAnsi="Arial" w:cs="Arial"/>
          <w:sz w:val="22"/>
          <w:szCs w:val="22"/>
        </w:rPr>
      </w:pPr>
    </w:p>
    <w:p>
      <w:pPr>
        <w:pStyle w:val="5"/>
        <w:jc w:val="center"/>
        <w:rPr>
          <w:rFonts w:ascii="Arial" w:hAnsi="Arial" w:cs="Arial"/>
          <w:sz w:val="22"/>
          <w:szCs w:val="22"/>
        </w:rPr>
      </w:pPr>
      <w:r>
        <w:rPr>
          <w:rFonts w:ascii="Arial" w:hAnsi="Arial" w:cs="Arial"/>
          <w:sz w:val="22"/>
          <w:szCs w:val="22"/>
        </w:rPr>
        <w:t>Project Identification No.: PANG-202</w:t>
      </w:r>
      <w:r>
        <w:rPr>
          <w:rFonts w:hint="default" w:ascii="Arial" w:hAnsi="Arial" w:cs="Arial"/>
          <w:sz w:val="22"/>
          <w:szCs w:val="22"/>
          <w:lang w:val="en-US"/>
        </w:rPr>
        <w:t>4</w:t>
      </w:r>
      <w:r>
        <w:rPr>
          <w:rFonts w:ascii="Arial" w:hAnsi="Arial" w:cs="Arial"/>
          <w:sz w:val="22"/>
          <w:szCs w:val="22"/>
        </w:rPr>
        <w:t>-</w:t>
      </w:r>
      <w:r>
        <w:rPr>
          <w:rFonts w:hint="default" w:ascii="Arial" w:hAnsi="Arial" w:cs="Arial"/>
          <w:sz w:val="22"/>
          <w:szCs w:val="22"/>
          <w:lang w:val="en-US"/>
        </w:rPr>
        <w:t>01-0058</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bookmarkStart w:id="5" w:name="_Hlk155255561"/>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bCs/>
          <w:sz w:val="21"/>
          <w:szCs w:val="21"/>
          <w:lang w:val="en-US"/>
        </w:rPr>
        <w:t>Trust Fund</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01-0109</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One Million Seven Hundred Forty Nine Thousand</w:t>
      </w:r>
      <w:r>
        <w:rPr>
          <w:rFonts w:ascii="Arial" w:hAnsi="Arial" w:cs="Arial"/>
          <w:b/>
          <w:sz w:val="21"/>
          <w:szCs w:val="21"/>
        </w:rPr>
        <w:t xml:space="preserve"> Pesos  (P</w:t>
      </w:r>
      <w:r>
        <w:rPr>
          <w:rFonts w:hint="default" w:ascii="Arial" w:hAnsi="Arial" w:cs="Arial"/>
          <w:b/>
          <w:sz w:val="21"/>
          <w:szCs w:val="21"/>
          <w:lang w:val="en-US"/>
        </w:rPr>
        <w:t>1,749,000.00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cs="Arial"/>
          <w:b/>
          <w:sz w:val="21"/>
          <w:szCs w:val="21"/>
          <w:lang w:val="en-US"/>
        </w:rPr>
        <w:t>Supply and Delivery of Five (5) Units of Customized Modular Portable Evacuation Center (Container Van) at PDRRMO, Lingayen, Pangasinan (to be serve as Flexible Evacuation Center)</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Container Van</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w:t>
      </w:r>
      <w:bookmarkStart w:id="10" w:name="_GoBack"/>
      <w:bookmarkEnd w:id="10"/>
      <w:r>
        <w:rPr>
          <w:rFonts w:ascii="Arial" w:hAnsi="Arial" w:cs="Arial"/>
          <w:sz w:val="21"/>
          <w:szCs w:val="21"/>
        </w:rPr>
        <w:t>ducted through open competitive bidding procedures using a non-discretionary “pass/fail” criterion as specified in the 2016 Revised Implementing Rules and Regulation (IRR) of Republic Act (RA) 9184), otherwise known as the “Government Procurement Reform Act”</w:t>
      </w:r>
      <w:bookmarkStart w:id="6"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Bidding is restricted to Filipino citizen/sole </w:t>
      </w:r>
      <w:r>
        <w:rPr>
          <w:rFonts w:ascii="Arial" w:hAnsi="Arial" w:cs="Arial"/>
          <w:sz w:val="21"/>
          <w:szCs w:val="21"/>
          <w:lang w:val="en-US"/>
        </w:rPr>
        <w:t>proprietorship</w:t>
      </w:r>
      <w:r>
        <w:rPr>
          <w:rFonts w:hint="default" w:ascii="Arial" w:hAnsi="Arial" w:cs="Arial"/>
          <w:sz w:val="21"/>
          <w:szCs w:val="21"/>
          <w:lang w:val="en-US"/>
        </w:rPr>
        <w:t>s</w:t>
      </w:r>
      <w:r>
        <w:rPr>
          <w:rFonts w:ascii="Arial" w:hAnsi="Arial" w:cs="Arial"/>
          <w:sz w:val="21"/>
          <w:szCs w:val="21"/>
        </w:rPr>
        <w:t>,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7" w:name="_Hlk136958507"/>
      <w:r>
        <w:rPr>
          <w:rFonts w:ascii="Arial" w:hAnsi="Arial" w:cs="Arial"/>
          <w:sz w:val="21"/>
          <w:szCs w:val="21"/>
        </w:rPr>
        <w:t xml:space="preserve">Bidders </w:t>
      </w:r>
      <w:bookmarkEnd w:id="7"/>
      <w:r>
        <w:rPr>
          <w:rFonts w:ascii="Arial" w:hAnsi="Arial" w:cs="Arial"/>
          <w:b/>
          <w:sz w:val="21"/>
          <w:szCs w:val="21"/>
        </w:rPr>
        <w:t>Jan</w:t>
      </w:r>
      <w:r>
        <w:rPr>
          <w:rFonts w:hint="default" w:ascii="Arial" w:hAnsi="Arial" w:cs="Arial"/>
          <w:b/>
          <w:sz w:val="21"/>
          <w:szCs w:val="21"/>
          <w:lang w:val="en-US"/>
        </w:rPr>
        <w:t>uary 26</w:t>
      </w:r>
      <w:r>
        <w:rPr>
          <w:rFonts w:ascii="Arial" w:hAnsi="Arial" w:cs="Arial"/>
          <w:b/>
          <w:sz w:val="21"/>
          <w:szCs w:val="21"/>
        </w:rPr>
        <w:t xml:space="preserve">, 2024 – </w:t>
      </w:r>
      <w:r>
        <w:rPr>
          <w:rFonts w:hint="default" w:ascii="Arial" w:hAnsi="Arial" w:cs="Arial"/>
          <w:b/>
          <w:sz w:val="21"/>
          <w:szCs w:val="21"/>
          <w:lang w:val="en-US"/>
        </w:rPr>
        <w:t>February 14</w:t>
      </w:r>
      <w:r>
        <w:rPr>
          <w:rFonts w:ascii="Arial" w:hAnsi="Arial" w:cs="Arial"/>
          <w:b/>
          <w:sz w:val="21"/>
          <w:szCs w:val="21"/>
        </w:rPr>
        <w:t xml:space="preserve">, 2024; 8:00 am to 5:00pm and </w:t>
      </w:r>
      <w:r>
        <w:rPr>
          <w:rFonts w:hint="default" w:ascii="Arial" w:hAnsi="Arial" w:cs="Arial"/>
          <w:b/>
          <w:sz w:val="21"/>
          <w:szCs w:val="21"/>
          <w:lang w:val="en-US"/>
        </w:rPr>
        <w:t>February 15</w:t>
      </w:r>
      <w:r>
        <w:rPr>
          <w:rFonts w:ascii="Arial" w:hAnsi="Arial" w:cs="Arial"/>
          <w:b/>
          <w:sz w:val="21"/>
          <w:szCs w:val="21"/>
        </w:rPr>
        <w:t>, 2024; 8:00 am to 10:00am</w:t>
      </w:r>
      <w:r>
        <w:rPr>
          <w:rFonts w:ascii="Arial" w:hAnsi="Arial" w:cs="Arial"/>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26</w:t>
      </w:r>
      <w:r>
        <w:rPr>
          <w:rFonts w:ascii="Arial" w:hAnsi="Arial" w:cs="Arial"/>
          <w:b/>
          <w:sz w:val="21"/>
          <w:szCs w:val="21"/>
        </w:rPr>
        <w:t xml:space="preserve">, 2024 – </w:t>
      </w:r>
      <w:r>
        <w:rPr>
          <w:rFonts w:hint="default" w:ascii="Arial" w:hAnsi="Arial" w:cs="Arial"/>
          <w:b/>
          <w:sz w:val="21"/>
          <w:szCs w:val="21"/>
          <w:lang w:val="en-US"/>
        </w:rPr>
        <w:t>February 14</w:t>
      </w:r>
      <w:r>
        <w:rPr>
          <w:rFonts w:ascii="Arial" w:hAnsi="Arial" w:cs="Arial"/>
          <w:b/>
          <w:sz w:val="21"/>
          <w:szCs w:val="21"/>
        </w:rPr>
        <w:t xml:space="preserve">, 2024; 8:00 am to 5:00pm and </w:t>
      </w:r>
      <w:r>
        <w:rPr>
          <w:rFonts w:hint="default" w:ascii="Arial" w:hAnsi="Arial" w:cs="Arial"/>
          <w:b/>
          <w:sz w:val="21"/>
          <w:szCs w:val="21"/>
          <w:lang w:val="en-US"/>
        </w:rPr>
        <w:t>February 15</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bCs/>
          <w:sz w:val="21"/>
          <w:szCs w:val="21"/>
          <w:lang w:val="en-US"/>
        </w:rPr>
        <w:t>Two</w:t>
      </w:r>
      <w:r>
        <w:rPr>
          <w:rFonts w:ascii="Arial" w:hAnsi="Arial" w:cs="Arial"/>
          <w:b/>
          <w:sz w:val="21"/>
          <w:szCs w:val="21"/>
        </w:rPr>
        <w:t xml:space="preserve"> Thousand Pesos (P</w:t>
      </w:r>
      <w:r>
        <w:rPr>
          <w:rFonts w:hint="default" w:ascii="Arial" w:hAnsi="Arial" w:cs="Arial"/>
          <w:b/>
          <w:sz w:val="21"/>
          <w:szCs w:val="21"/>
          <w:lang w:val="en-US"/>
        </w:rPr>
        <w:t>2</w:t>
      </w:r>
      <w:r>
        <w:rPr>
          <w:rFonts w:ascii="Arial" w:hAnsi="Arial" w:cs="Arial"/>
          <w:b/>
          <w:sz w:val="21"/>
          <w:szCs w:val="21"/>
        </w:rPr>
        <w:t>,000.00)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8" w:name="_Hlk50462196"/>
      <w:r>
        <w:rPr>
          <w:rFonts w:hint="default" w:ascii="Arial" w:hAnsi="Arial" w:cs="Arial"/>
          <w:b/>
          <w:bCs/>
          <w:sz w:val="21"/>
          <w:szCs w:val="21"/>
          <w:lang w:val="en-US"/>
        </w:rPr>
        <w:t>February 02</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hint="default" w:ascii="Arial" w:hAnsi="Arial" w:cs="Arial"/>
          <w:b/>
          <w:bCs/>
          <w:sz w:val="21"/>
          <w:szCs w:val="21"/>
          <w:lang w:val="en-US"/>
        </w:rPr>
        <w:t>February 15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numPr>
          <w:numId w:val="0"/>
        </w:numPr>
        <w:spacing w:after="0" w:line="240" w:lineRule="auto"/>
        <w:jc w:val="both"/>
        <w:rPr>
          <w:rFonts w:ascii="Arial" w:hAnsi="Arial" w:cs="Arial"/>
          <w:sz w:val="21"/>
          <w:szCs w:val="21"/>
        </w:rPr>
      </w:pPr>
    </w:p>
    <w:p>
      <w:pPr>
        <w:pStyle w:val="5"/>
        <w:numPr>
          <w:numId w:val="0"/>
        </w:numPr>
        <w:spacing w:after="0" w:line="240" w:lineRule="auto"/>
        <w:jc w:val="both"/>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cs="Arial"/>
          <w:b/>
          <w:bCs/>
          <w:sz w:val="21"/>
          <w:szCs w:val="21"/>
          <w:lang w:val="en-US"/>
        </w:rPr>
        <w:t>February 15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6"/>
    </w:p>
    <w:bookmarkEnd w:id="5"/>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9"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9"/>
    <w:p>
      <w:pPr>
        <w:jc w:val="both"/>
        <w:rPr>
          <w:rFonts w:ascii="Arial" w:hAnsi="Arial" w:cs="Arial"/>
          <w:sz w:val="21"/>
          <w:szCs w:val="21"/>
        </w:rPr>
      </w:pPr>
    </w:p>
    <w:p>
      <w:pPr>
        <w:jc w:val="both"/>
        <w:rPr>
          <w:rFonts w:ascii="Arial" w:hAnsi="Arial" w:cs="Arial"/>
          <w:color w:val="0000FF"/>
          <w:sz w:val="21"/>
          <w:szCs w:val="21"/>
          <w:u w:val="single"/>
        </w:rPr>
      </w:pPr>
    </w:p>
    <w:bookmarkEnd w:id="3"/>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36D14"/>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5A62"/>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1F4"/>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4A05B87"/>
    <w:rsid w:val="211313D4"/>
    <w:rsid w:val="2B3E299A"/>
    <w:rsid w:val="35DB14AA"/>
    <w:rsid w:val="3EF025F0"/>
    <w:rsid w:val="40E666D6"/>
    <w:rsid w:val="58C66D6C"/>
    <w:rsid w:val="5EE0563D"/>
    <w:rsid w:val="6777348D"/>
    <w:rsid w:val="77E233EA"/>
    <w:rsid w:val="7889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Body Text"/>
    <w:basedOn w:val="1"/>
    <w:link w:val="10"/>
    <w:qFormat/>
    <w:uiPriority w:val="0"/>
    <w:pPr>
      <w:jc w:val="both"/>
    </w:p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qFormat/>
    <w:uiPriority w:val="0"/>
    <w:rPr>
      <w:color w:val="0000FF"/>
      <w:u w:val="single"/>
    </w:rPr>
  </w:style>
  <w:style w:type="character" w:customStyle="1" w:styleId="9">
    <w:name w:val="Balloon Text Char"/>
    <w:basedOn w:val="2"/>
    <w:link w:val="4"/>
    <w:semiHidden/>
    <w:qFormat/>
    <w:uiPriority w:val="99"/>
    <w:rPr>
      <w:rFonts w:ascii="Tahoma" w:hAnsi="Tahoma" w:eastAsia="Times New Roman" w:cs="Tahoma"/>
      <w:sz w:val="16"/>
      <w:szCs w:val="16"/>
    </w:rPr>
  </w:style>
  <w:style w:type="character" w:customStyle="1" w:styleId="10">
    <w:name w:val="Body Text Char"/>
    <w:basedOn w:val="2"/>
    <w:link w:val="5"/>
    <w:qFormat/>
    <w:uiPriority w:val="0"/>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style>
  <w:style w:type="character" w:customStyle="1" w:styleId="12">
    <w:name w:val="Header Char"/>
    <w:basedOn w:val="2"/>
    <w:link w:val="7"/>
    <w:qFormat/>
    <w:uiPriority w:val="99"/>
    <w:rPr>
      <w:rFonts w:ascii="Times New Roman" w:hAnsi="Times New Roman" w:eastAsia="Times New Roman" w:cs="Times New Roman"/>
      <w:sz w:val="24"/>
      <w:szCs w:val="24"/>
    </w:rPr>
  </w:style>
  <w:style w:type="character" w:customStyle="1" w:styleId="13">
    <w:name w:val="Footer Char"/>
    <w:basedOn w:val="2"/>
    <w:link w:val="6"/>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1</Pages>
  <Words>687</Words>
  <Characters>3918</Characters>
  <Lines>32</Lines>
  <Paragraphs>9</Paragraphs>
  <TotalTime>5</TotalTime>
  <ScaleCrop>false</ScaleCrop>
  <LinksUpToDate>false</LinksUpToDate>
  <CharactersWithSpaces>4596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2023-12-23T21:51:00Z</dcterms:created>
  <dc:creator>user</dc:creator>
  <cp:lastModifiedBy>hp</cp:lastModifiedBy>
  <cp:lastPrinted>2024-01-25T10:18:04Z</cp:lastPrinted>
  <dcterms:modified xsi:type="dcterms:W3CDTF">2024-01-25T10:25:49Z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1166E4225556479D819A0A63CF6EC611_12</vt:lpwstr>
  </property>
</Properties>
</file>