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r>
        <w:rPr>
          <w:rFonts w:ascii="Arial" w:hAnsi="Arial" w:cs="Arial"/>
          <w:b/>
          <w:sz w:val="28"/>
          <w:szCs w:val="28"/>
        </w:rPr>
        <w:t xml:space="preserve">INVITATION TO BID </w:t>
      </w:r>
    </w:p>
    <w:p>
      <w:pPr>
        <w:pStyle w:val="5"/>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pPr>
        <w:pStyle w:val="5"/>
        <w:jc w:val="center"/>
        <w:rPr>
          <w:rFonts w:ascii="Arial" w:hAnsi="Arial" w:cs="Arial"/>
          <w:b/>
          <w:sz w:val="28"/>
          <w:szCs w:val="28"/>
        </w:rPr>
      </w:pPr>
    </w:p>
    <w:p>
      <w:pPr>
        <w:pStyle w:val="5"/>
        <w:jc w:val="center"/>
        <w:rPr>
          <w:rFonts w:ascii="Arial" w:hAnsi="Arial" w:cs="Arial"/>
          <w:b/>
        </w:rPr>
      </w:pPr>
      <w:bookmarkStart w:id="5" w:name="_Hlk150869905"/>
      <w:bookmarkStart w:id="6" w:name="_Hlk153993650"/>
      <w:bookmarkStart w:id="7" w:name="_Hlk155269784"/>
      <w:bookmarkStart w:id="8" w:name="_Hlk144798492"/>
      <w:r>
        <w:rPr>
          <w:rFonts w:ascii="Arial" w:hAnsi="Arial" w:cs="Arial"/>
          <w:b/>
        </w:rPr>
        <w:t>Supply and Delivery of</w:t>
      </w:r>
      <w:bookmarkEnd w:id="5"/>
      <w:bookmarkEnd w:id="6"/>
      <w:r>
        <w:rPr>
          <w:rFonts w:ascii="Arial" w:hAnsi="Arial" w:cs="Arial"/>
          <w:b/>
        </w:rPr>
        <w:t xml:space="preserve"> Ten (10) units X-Ray Portable at Provincial Governor’s Office, Lingayen, Pangasinan (for use of various hospitals)</w:t>
      </w:r>
      <w:bookmarkEnd w:id="7"/>
      <w:r>
        <w:rPr>
          <w:rFonts w:ascii="Arial" w:hAnsi="Arial" w:cs="Arial"/>
          <w:b/>
        </w:rPr>
        <w:t xml:space="preserve"> </w:t>
      </w:r>
    </w:p>
    <w:bookmarkEnd w:id="8"/>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 xml:space="preserve">Project Identification No.: </w:t>
      </w:r>
      <w:bookmarkStart w:id="15" w:name="_GoBack"/>
      <w:r>
        <w:rPr>
          <w:rFonts w:ascii="Arial" w:hAnsi="Arial" w:cs="Arial"/>
          <w:sz w:val="22"/>
          <w:szCs w:val="22"/>
        </w:rPr>
        <w:t>PANG-2024-01-0005-G</w:t>
      </w:r>
      <w:bookmarkEnd w:id="15"/>
    </w:p>
    <w:p>
      <w:pPr>
        <w:pStyle w:val="5"/>
        <w:jc w:val="left"/>
        <w:rPr>
          <w:rFonts w:ascii="Arial" w:hAnsi="Arial" w:cs="Arial"/>
        </w:rPr>
      </w:pPr>
    </w:p>
    <w:p>
      <w:pPr>
        <w:pStyle w:val="5"/>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LBP Loan (PR#2024-01-0019) </w:t>
      </w:r>
      <w:r>
        <w:rPr>
          <w:rFonts w:ascii="Arial" w:hAnsi="Arial" w:cs="Arial"/>
          <w:sz w:val="21"/>
          <w:szCs w:val="21"/>
        </w:rPr>
        <w:t xml:space="preserve">intends to apply the sum of </w:t>
      </w:r>
      <w:r>
        <w:rPr>
          <w:rFonts w:ascii="Arial" w:hAnsi="Arial" w:cs="Arial"/>
          <w:b/>
          <w:sz w:val="21"/>
          <w:szCs w:val="21"/>
        </w:rPr>
        <w:t>One Hundred Fifty Million Pesos (P150,000,000.00)</w:t>
      </w:r>
      <w:r>
        <w:rPr>
          <w:rFonts w:ascii="Arial" w:hAnsi="Arial" w:cs="Arial"/>
          <w:sz w:val="21"/>
          <w:szCs w:val="21"/>
        </w:rPr>
        <w:t xml:space="preserve"> being the Approved Budget for the Contract (ABC) to payments under the contract for </w:t>
      </w:r>
      <w:r>
        <w:rPr>
          <w:rFonts w:ascii="Arial" w:hAnsi="Arial" w:cs="Arial"/>
          <w:b/>
          <w:sz w:val="21"/>
          <w:szCs w:val="21"/>
        </w:rPr>
        <w:t>Supply and Delivery of Ten (10) units X-Ray Portable at Provincial Governor’s Office, Lingayen, Pangasinan (for use of hospitals).</w:t>
      </w:r>
      <w:r>
        <w:rPr>
          <w:rFonts w:ascii="Arial" w:hAnsi="Arial" w:cs="Arial"/>
          <w:sz w:val="21"/>
          <w:szCs w:val="21"/>
        </w:rPr>
        <w:t xml:space="preserve"> </w:t>
      </w:r>
    </w:p>
    <w:p>
      <w:pPr>
        <w:pStyle w:val="5"/>
        <w:tabs>
          <w:tab w:val="left" w:pos="2700"/>
        </w:tabs>
        <w:rPr>
          <w:rFonts w:ascii="Arial" w:hAnsi="Arial" w:cs="Arial"/>
          <w:sz w:val="21"/>
          <w:szCs w:val="21"/>
        </w:rPr>
      </w:pPr>
    </w:p>
    <w:p>
      <w:pPr>
        <w:ind w:left="720"/>
        <w:jc w:val="both"/>
        <w:rPr>
          <w:rFonts w:ascii="Arial" w:hAnsi="Arial" w:eastAsia="Calibri" w:cs="Arial"/>
          <w:b/>
          <w:bCs/>
          <w:color w:val="000000"/>
          <w:sz w:val="21"/>
          <w:szCs w:val="21"/>
        </w:rPr>
      </w:pPr>
      <w:r>
        <w:rPr>
          <w:rFonts w:ascii="Arial" w:hAnsi="Arial" w:eastAsia="Calibri" w:cs="Arial"/>
          <w:b/>
          <w:bCs/>
          <w:color w:val="000000"/>
          <w:sz w:val="21"/>
          <w:szCs w:val="21"/>
        </w:rPr>
        <w:t>Specifications:</w:t>
      </w:r>
    </w:p>
    <w:p>
      <w:pPr>
        <w:ind w:left="720"/>
        <w:jc w:val="both"/>
        <w:rPr>
          <w:rFonts w:ascii="Arial" w:hAnsi="Arial" w:eastAsia="Calibri" w:cs="Arial"/>
          <w:b/>
          <w:bCs/>
          <w:color w:val="000000"/>
          <w:sz w:val="21"/>
          <w:szCs w:val="21"/>
        </w:rPr>
      </w:pPr>
    </w:p>
    <w:p>
      <w:pPr>
        <w:ind w:left="720"/>
        <w:jc w:val="both"/>
        <w:rPr>
          <w:rFonts w:ascii="Arial" w:hAnsi="Arial" w:eastAsia="Calibri" w:cs="Arial"/>
          <w:sz w:val="20"/>
          <w:szCs w:val="20"/>
        </w:rPr>
      </w:pPr>
      <w:r>
        <w:rPr>
          <w:rFonts w:ascii="Arial" w:hAnsi="Arial" w:eastAsia="Calibri" w:cs="Arial"/>
          <w:sz w:val="20"/>
          <w:szCs w:val="20"/>
        </w:rPr>
        <w:t xml:space="preserve">Collapsible Column </w:t>
      </w:r>
    </w:p>
    <w:p>
      <w:pPr>
        <w:ind w:firstLine="720"/>
        <w:jc w:val="both"/>
        <w:rPr>
          <w:rFonts w:ascii="Arial" w:hAnsi="Arial" w:eastAsia="Calibri" w:cs="Arial"/>
          <w:sz w:val="20"/>
          <w:szCs w:val="20"/>
        </w:rPr>
      </w:pPr>
      <w:r>
        <w:rPr>
          <w:rFonts w:ascii="Arial" w:hAnsi="Arial" w:eastAsia="Calibri" w:cs="Arial"/>
          <w:sz w:val="20"/>
          <w:szCs w:val="20"/>
        </w:rPr>
        <w:t xml:space="preserve">Column Height 127cm during transportation, Focus Height 680 2025mm consisting of: </w:t>
      </w:r>
    </w:p>
    <w:p>
      <w:pPr>
        <w:jc w:val="both"/>
        <w:rPr>
          <w:rFonts w:ascii="Arial" w:hAnsi="Arial" w:eastAsia="Calibri" w:cs="Arial"/>
          <w:sz w:val="20"/>
          <w:szCs w:val="20"/>
        </w:rPr>
      </w:pPr>
    </w:p>
    <w:p>
      <w:pPr>
        <w:ind w:firstLine="720"/>
        <w:jc w:val="both"/>
        <w:rPr>
          <w:rFonts w:ascii="Arial" w:hAnsi="Arial" w:eastAsia="Calibri" w:cs="Arial"/>
          <w:sz w:val="20"/>
          <w:szCs w:val="20"/>
        </w:rPr>
      </w:pPr>
      <w:r>
        <w:rPr>
          <w:rFonts w:ascii="Arial" w:hAnsi="Arial" w:eastAsia="Calibri" w:cs="Arial"/>
          <w:b/>
          <w:bCs/>
          <w:sz w:val="20"/>
          <w:szCs w:val="20"/>
        </w:rPr>
        <w:t>High Frequency Inverter High Voltage Generator</w:t>
      </w:r>
      <w:r>
        <w:rPr>
          <w:rFonts w:ascii="Arial" w:hAnsi="Arial" w:eastAsia="Calibri" w:cs="Arial"/>
          <w:sz w:val="20"/>
          <w:szCs w:val="20"/>
        </w:rPr>
        <w:t xml:space="preserve"> </w:t>
      </w:r>
      <w:r>
        <w:rPr>
          <w:rFonts w:ascii="Arial" w:hAnsi="Arial" w:eastAsia="Calibri" w:cs="Arial"/>
          <w:sz w:val="20"/>
          <w:szCs w:val="20"/>
        </w:rPr>
        <w:softHyphen/>
      </w:r>
      <w:r>
        <w:rPr>
          <w:rFonts w:ascii="Arial" w:hAnsi="Arial" w:eastAsia="Calibri" w:cs="Arial"/>
          <w:sz w:val="20"/>
          <w:szCs w:val="20"/>
        </w:rPr>
        <w:t xml:space="preserve"> </w:t>
      </w:r>
    </w:p>
    <w:p>
      <w:pPr>
        <w:ind w:firstLine="720"/>
        <w:jc w:val="both"/>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 xml:space="preserve">Maximum Inverter Frequency : 60kHz </w:t>
      </w:r>
    </w:p>
    <w:p>
      <w:pPr>
        <w:ind w:firstLine="720"/>
        <w:jc w:val="both"/>
        <w:rPr>
          <w:rFonts w:ascii="Arial" w:hAnsi="Arial" w:eastAsia="Calibri" w:cs="Arial"/>
          <w:sz w:val="20"/>
          <w:szCs w:val="20"/>
        </w:rPr>
      </w:pPr>
      <w:r>
        <w:rPr>
          <w:rFonts w:ascii="Arial" w:hAnsi="Arial" w:eastAsia="Calibri" w:cs="Arial"/>
          <w:sz w:val="20"/>
          <w:szCs w:val="20"/>
        </w:rPr>
        <w:softHyphen/>
      </w:r>
      <w:r>
        <w:rPr>
          <w:rFonts w:ascii="Arial" w:hAnsi="Arial" w:eastAsia="Calibri" w:cs="Arial"/>
          <w:color w:val="000000"/>
          <w:sz w:val="20"/>
          <w:szCs w:val="20"/>
        </w:rPr>
        <w:t xml:space="preserve">• </w:t>
      </w:r>
      <w:r>
        <w:rPr>
          <w:rFonts w:ascii="Arial" w:hAnsi="Arial" w:eastAsia="Calibri" w:cs="Arial"/>
          <w:sz w:val="20"/>
          <w:szCs w:val="20"/>
        </w:rPr>
        <w:t>Tube Voltage Range : 40-133kV at 1 kV Step</w:t>
      </w:r>
    </w:p>
    <w:p>
      <w:pPr>
        <w:ind w:firstLine="720"/>
        <w:jc w:val="both"/>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Maximum Tube Current : 400mA at 20msec</w:t>
      </w:r>
    </w:p>
    <w:p>
      <w:pPr>
        <w:ind w:firstLine="720"/>
        <w:jc w:val="both"/>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mAs Range : 0.32-320mAs at 12.5% Steps</w:t>
      </w:r>
    </w:p>
    <w:p>
      <w:pPr>
        <w:ind w:firstLine="720"/>
        <w:jc w:val="both"/>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 xml:space="preserve">Maximum Output : 32 kW </w:t>
      </w:r>
      <w:r>
        <w:rPr>
          <w:rFonts w:ascii="Arial" w:hAnsi="Arial" w:eastAsia="Calibri" w:cs="Arial"/>
          <w:sz w:val="20"/>
          <w:szCs w:val="20"/>
        </w:rPr>
        <w:softHyphen/>
      </w:r>
    </w:p>
    <w:p>
      <w:pPr>
        <w:ind w:firstLine="720"/>
        <w:jc w:val="both"/>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Anatomical Programs: 441 (432 for FPD Radiography and 9 for General Radiography)</w:t>
      </w:r>
    </w:p>
    <w:p>
      <w:pPr>
        <w:ind w:firstLine="720"/>
        <w:rPr>
          <w:rFonts w:ascii="Arial" w:hAnsi="Arial" w:eastAsia="Calibri" w:cs="Arial"/>
          <w:sz w:val="20"/>
          <w:szCs w:val="20"/>
        </w:rPr>
      </w:pPr>
      <w:r>
        <w:rPr>
          <w:rFonts w:ascii="Arial" w:hAnsi="Arial" w:eastAsia="Calibri" w:cs="Arial"/>
          <w:sz w:val="20"/>
          <w:szCs w:val="20"/>
        </w:rPr>
        <w:t xml:space="preserve">Status Indicator: 4 Colors </w:t>
      </w:r>
    </w:p>
    <w:p>
      <w:pPr>
        <w:rPr>
          <w:rFonts w:ascii="Arial" w:hAnsi="Arial" w:eastAsia="Calibri" w:cs="Arial"/>
          <w:sz w:val="20"/>
          <w:szCs w:val="20"/>
        </w:rPr>
      </w:pPr>
      <w:r>
        <w:rPr>
          <w:rFonts w:ascii="Arial" w:hAnsi="Arial" w:eastAsia="Calibri" w:cs="Arial"/>
          <w:sz w:val="20"/>
          <w:szCs w:val="20"/>
        </w:rPr>
        <w:t xml:space="preserve"> </w:t>
      </w:r>
    </w:p>
    <w:p>
      <w:pPr>
        <w:ind w:firstLine="720"/>
        <w:rPr>
          <w:rFonts w:ascii="Arial" w:hAnsi="Arial" w:eastAsia="Calibri" w:cs="Arial"/>
          <w:sz w:val="20"/>
          <w:szCs w:val="20"/>
        </w:rPr>
      </w:pPr>
      <w:r>
        <w:rPr>
          <w:rFonts w:ascii="Arial" w:hAnsi="Arial" w:eastAsia="Calibri" w:cs="Arial"/>
          <w:b/>
          <w:bCs/>
          <w:sz w:val="20"/>
          <w:szCs w:val="20"/>
        </w:rPr>
        <w:t>Main Mobile Cart with Telescopic-Arm Support Column</w:t>
      </w:r>
      <w:r>
        <w:rPr>
          <w:rFonts w:ascii="Arial" w:hAnsi="Arial" w:eastAsia="Calibri" w:cs="Arial"/>
          <w:sz w:val="20"/>
          <w:szCs w:val="20"/>
        </w:rPr>
        <w:t xml:space="preserve"> </w:t>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Power Assisted Optimization System "PAOS" "</w:t>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Inch Mover" Movement Control at Collimator Panel</w:t>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Arm Rotation : +/- 270 degrees</w:t>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 xml:space="preserve">Arm Horizontal Travel : 120 cm </w:t>
      </w:r>
      <w:r>
        <w:rPr>
          <w:rFonts w:ascii="Arial" w:hAnsi="Arial" w:eastAsia="Calibri" w:cs="Arial"/>
          <w:color w:val="000000"/>
          <w:sz w:val="20"/>
          <w:szCs w:val="20"/>
        </w:rPr>
        <w:t xml:space="preserve">• </w:t>
      </w:r>
      <w:r>
        <w:rPr>
          <w:rFonts w:ascii="Arial" w:hAnsi="Arial" w:eastAsia="Calibri" w:cs="Arial"/>
          <w:sz w:val="20"/>
          <w:szCs w:val="20"/>
        </w:rPr>
        <w:t xml:space="preserve">Narrow Width : 56 cm </w:t>
      </w:r>
    </w:p>
    <w:p>
      <w:pPr>
        <w:rPr>
          <w:rFonts w:ascii="Arial" w:hAnsi="Arial" w:eastAsia="Calibri" w:cs="Arial"/>
          <w:sz w:val="20"/>
          <w:szCs w:val="20"/>
        </w:rPr>
      </w:pPr>
      <w:r>
        <w:rPr>
          <w:rFonts w:ascii="Arial" w:hAnsi="Arial" w:eastAsia="Calibri" w:cs="Arial"/>
          <w:sz w:val="20"/>
          <w:szCs w:val="20"/>
        </w:rPr>
        <w:t xml:space="preserve"> </w:t>
      </w:r>
    </w:p>
    <w:p>
      <w:pPr>
        <w:ind w:firstLine="720"/>
        <w:rPr>
          <w:rFonts w:ascii="Arial" w:hAnsi="Arial" w:eastAsia="Calibri" w:cs="Arial"/>
          <w:b/>
          <w:bCs/>
          <w:sz w:val="20"/>
          <w:szCs w:val="20"/>
        </w:rPr>
      </w:pPr>
      <w:r>
        <w:rPr>
          <w:rFonts w:ascii="Arial" w:hAnsi="Arial" w:eastAsia="Calibri" w:cs="Arial"/>
          <w:b/>
          <w:bCs/>
          <w:sz w:val="20"/>
          <w:szCs w:val="20"/>
        </w:rPr>
        <w:t xml:space="preserve">Battery </w:t>
      </w:r>
    </w:p>
    <w:p>
      <w:pPr>
        <w:ind w:firstLine="720"/>
        <w:rPr>
          <w:rFonts w:ascii="Arial" w:hAnsi="Arial" w:eastAsia="Calibri" w:cs="Arial"/>
          <w:sz w:val="20"/>
          <w:szCs w:val="20"/>
        </w:rPr>
      </w:pPr>
      <w:r>
        <w:rPr>
          <w:rFonts w:ascii="Arial" w:hAnsi="Arial" w:eastAsia="Calibri" w:cs="Arial"/>
          <w:b/>
          <w:bCs/>
          <w:sz w:val="20"/>
          <w:szCs w:val="20"/>
        </w:rPr>
        <w:t>X-ray Tube Unit</w:t>
      </w:r>
      <w:r>
        <w:rPr>
          <w:rFonts w:ascii="Arial" w:hAnsi="Arial" w:eastAsia="Calibri" w:cs="Arial"/>
          <w:sz w:val="20"/>
          <w:szCs w:val="20"/>
        </w:rPr>
        <w:t xml:space="preserve"> </w:t>
      </w:r>
      <w:r>
        <w:rPr>
          <w:rFonts w:ascii="Arial" w:hAnsi="Arial" w:eastAsia="Calibri" w:cs="Arial"/>
          <w:sz w:val="20"/>
          <w:szCs w:val="20"/>
        </w:rPr>
        <w:softHyphen/>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 xml:space="preserve">Anode Heat Capacity : 300kHU </w:t>
      </w:r>
      <w:r>
        <w:rPr>
          <w:rFonts w:ascii="Arial" w:hAnsi="Arial" w:eastAsia="Calibri" w:cs="Arial"/>
          <w:sz w:val="20"/>
          <w:szCs w:val="20"/>
        </w:rPr>
        <w:softHyphen/>
      </w:r>
    </w:p>
    <w:p>
      <w:pPr>
        <w:ind w:firstLine="720"/>
        <w:rPr>
          <w:rFonts w:ascii="Arial" w:hAnsi="Arial" w:eastAsia="Calibri" w:cs="Arial"/>
          <w:sz w:val="20"/>
          <w:szCs w:val="20"/>
        </w:rPr>
      </w:pPr>
      <w:r>
        <w:rPr>
          <w:rFonts w:ascii="Arial" w:hAnsi="Arial" w:eastAsia="Calibri" w:cs="Arial"/>
          <w:color w:val="000000"/>
          <w:sz w:val="20"/>
          <w:szCs w:val="20"/>
        </w:rPr>
        <w:t xml:space="preserve">• </w:t>
      </w:r>
      <w:r>
        <w:rPr>
          <w:rFonts w:ascii="Arial" w:hAnsi="Arial" w:eastAsia="Calibri" w:cs="Arial"/>
          <w:sz w:val="20"/>
          <w:szCs w:val="20"/>
        </w:rPr>
        <w:t xml:space="preserve">Focal Spots : 0.7 / 1.3 mm Dual-Focus </w:t>
      </w:r>
    </w:p>
    <w:p>
      <w:pPr>
        <w:rPr>
          <w:rFonts w:ascii="Arial" w:hAnsi="Arial" w:eastAsia="Calibri" w:cs="Arial"/>
          <w:sz w:val="20"/>
          <w:szCs w:val="20"/>
        </w:rPr>
      </w:pPr>
      <w:r>
        <w:rPr>
          <w:rFonts w:ascii="Arial" w:hAnsi="Arial" w:eastAsia="Calibri" w:cs="Arial"/>
          <w:sz w:val="20"/>
          <w:szCs w:val="20"/>
        </w:rPr>
        <w:t xml:space="preserve"> </w:t>
      </w:r>
    </w:p>
    <w:p>
      <w:pPr>
        <w:ind w:left="720"/>
        <w:rPr>
          <w:rFonts w:ascii="Arial" w:hAnsi="Arial" w:eastAsia="Calibri" w:cs="Arial"/>
          <w:b/>
          <w:bCs/>
          <w:sz w:val="20"/>
          <w:szCs w:val="20"/>
        </w:rPr>
      </w:pPr>
      <w:r>
        <w:rPr>
          <w:rFonts w:ascii="Arial" w:hAnsi="Arial" w:eastAsia="Calibri" w:cs="Arial"/>
          <w:b/>
          <w:bCs/>
          <w:sz w:val="20"/>
          <w:szCs w:val="20"/>
        </w:rPr>
        <w:t xml:space="preserve">Multi-Leaf LED Collimator Compartment for Canon FPD Illuminated Hand Switch </w:t>
      </w:r>
    </w:p>
    <w:p>
      <w:pPr>
        <w:ind w:firstLine="720"/>
        <w:rPr>
          <w:rFonts w:ascii="Arial" w:hAnsi="Arial" w:eastAsia="Calibri" w:cs="Arial"/>
          <w:b/>
          <w:bCs/>
          <w:sz w:val="20"/>
          <w:szCs w:val="20"/>
        </w:rPr>
      </w:pPr>
      <w:r>
        <w:rPr>
          <w:rFonts w:ascii="Arial" w:hAnsi="Arial" w:eastAsia="Calibri" w:cs="Arial"/>
          <w:b/>
          <w:bCs/>
          <w:sz w:val="20"/>
          <w:szCs w:val="20"/>
        </w:rPr>
        <w:t xml:space="preserve">Display: 17inch Touch-screen LCD </w:t>
      </w:r>
    </w:p>
    <w:p>
      <w:pPr>
        <w:ind w:firstLine="720"/>
        <w:rPr>
          <w:rFonts w:ascii="Arial" w:hAnsi="Arial" w:eastAsia="Calibri" w:cs="Arial"/>
          <w:b/>
          <w:bCs/>
          <w:sz w:val="20"/>
          <w:szCs w:val="20"/>
        </w:rPr>
      </w:pPr>
      <w:r>
        <w:rPr>
          <w:rFonts w:ascii="Arial" w:hAnsi="Arial" w:eastAsia="Calibri" w:cs="Arial"/>
          <w:b/>
          <w:bCs/>
          <w:sz w:val="20"/>
          <w:szCs w:val="20"/>
        </w:rPr>
        <w:t>Key-less Entry</w:t>
      </w:r>
    </w:p>
    <w:p>
      <w:pPr>
        <w:rPr>
          <w:rFonts w:ascii="Arial" w:hAnsi="Arial" w:eastAsia="Calibri" w:cs="Arial"/>
          <w:b/>
          <w:bCs/>
          <w:sz w:val="20"/>
          <w:szCs w:val="20"/>
        </w:rPr>
      </w:pPr>
      <w:r>
        <w:rPr>
          <w:rFonts w:ascii="Arial" w:hAnsi="Arial" w:eastAsia="Calibri" w:cs="Arial"/>
          <w:b/>
          <w:bCs/>
          <w:sz w:val="20"/>
          <w:szCs w:val="20"/>
        </w:rPr>
        <w:t xml:space="preserve"> </w:t>
      </w:r>
    </w:p>
    <w:p>
      <w:pPr>
        <w:ind w:firstLine="720"/>
        <w:rPr>
          <w:rFonts w:ascii="Arial" w:hAnsi="Arial" w:eastAsia="Calibri" w:cs="Arial"/>
          <w:b/>
          <w:bCs/>
          <w:sz w:val="20"/>
          <w:szCs w:val="20"/>
        </w:rPr>
      </w:pPr>
      <w:r>
        <w:rPr>
          <w:rFonts w:ascii="Arial" w:hAnsi="Arial" w:cs="Arial"/>
          <w:b/>
          <w:bCs/>
          <w:sz w:val="20"/>
          <w:szCs w:val="20"/>
        </w:rPr>
        <w:t>Digital Radiography (FPD) consisting of:</w:t>
      </w:r>
    </w:p>
    <w:p>
      <w:pPr>
        <w:rPr>
          <w:rFonts w:ascii="Arial" w:hAnsi="Arial" w:eastAsia="Calibri" w:cs="Arial"/>
          <w:b/>
          <w:bCs/>
          <w:sz w:val="20"/>
          <w:szCs w:val="20"/>
        </w:rPr>
      </w:pPr>
      <w:r>
        <w:rPr>
          <w:rFonts w:ascii="Arial" w:hAnsi="Arial" w:eastAsia="Calibri" w:cs="Arial"/>
          <w:b/>
          <w:bCs/>
          <w:sz w:val="20"/>
          <w:szCs w:val="20"/>
        </w:rPr>
        <w:t xml:space="preserve"> </w:t>
      </w:r>
    </w:p>
    <w:p>
      <w:pPr>
        <w:ind w:firstLine="720"/>
        <w:rPr>
          <w:rFonts w:ascii="Arial" w:hAnsi="Arial" w:eastAsia="Calibri" w:cs="Arial"/>
          <w:b/>
          <w:bCs/>
          <w:sz w:val="20"/>
          <w:szCs w:val="20"/>
        </w:rPr>
      </w:pPr>
      <w:r>
        <w:rPr>
          <w:rFonts w:ascii="Arial" w:hAnsi="Arial" w:cs="Arial"/>
          <w:b/>
          <w:bCs/>
          <w:sz w:val="20"/>
          <w:szCs w:val="20"/>
        </w:rPr>
        <w:t>Flat Panel Detector: Wireless and Cassette-Size</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 xml:space="preserve">Wireless Standard : IEEE 802.11n </w:t>
      </w:r>
      <w:r>
        <w:rPr>
          <w:rFonts w:ascii="Arial" w:hAnsi="Arial" w:cs="Arial"/>
          <w:sz w:val="20"/>
          <w:szCs w:val="20"/>
        </w:rPr>
        <w:softHyphen/>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Image Size : Auto-Sizing up to 17" x 14" ( 35 x 43cm )</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Scintillator : Caesium Iodide ( CsI )</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"Cassette-Size" Sensor Dimension : 384 x 460 x 15 mm</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Preview Image Time : 2 seconds after exposure</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Acquisition Depth : 16-bits</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Battery Performance : 140 Images @100sec-cycle</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 xml:space="preserve">Sensors Identification : Up to 4-Active, 10-Registered </w:t>
      </w:r>
      <w:r>
        <w:rPr>
          <w:rFonts w:ascii="Arial" w:hAnsi="Arial" w:cs="Arial"/>
          <w:sz w:val="20"/>
          <w:szCs w:val="20"/>
        </w:rPr>
        <w:softHyphen/>
      </w:r>
      <w:r>
        <w:rPr>
          <w:rFonts w:ascii="Arial" w:hAnsi="Arial" w:cs="Arial"/>
          <w:sz w:val="20"/>
          <w:szCs w:val="20"/>
        </w:rPr>
        <w:t xml:space="preserve"> Sensor</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 xml:space="preserve">Exposure Time : Up to 3 seconds </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Sensor Weight : 3.2 kg / 7.3 lbs ( Battery Included )</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Dose Area Product meter</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Infrared Remote controller</w:t>
      </w:r>
    </w:p>
    <w:p>
      <w:pPr>
        <w:ind w:firstLine="720"/>
        <w:rPr>
          <w:rFonts w:ascii="Arial" w:hAnsi="Arial" w:cs="Arial"/>
          <w:sz w:val="20"/>
          <w:szCs w:val="20"/>
        </w:rPr>
      </w:pPr>
      <w:r>
        <w:rPr>
          <w:rFonts w:ascii="Arial" w:hAnsi="Arial" w:eastAsia="Calibri" w:cs="Arial"/>
          <w:color w:val="000000"/>
          <w:sz w:val="20"/>
          <w:szCs w:val="20"/>
        </w:rPr>
        <w:t xml:space="preserve">• </w:t>
      </w:r>
      <w:r>
        <w:rPr>
          <w:rFonts w:ascii="Arial" w:hAnsi="Arial" w:cs="Arial"/>
          <w:sz w:val="20"/>
          <w:szCs w:val="20"/>
        </w:rPr>
        <w:t>Decoration Labe</w:t>
      </w:r>
    </w:p>
    <w:p>
      <w:pPr>
        <w:rPr>
          <w:rFonts w:ascii="Arial" w:hAnsi="Arial" w:eastAsia="Calibri" w:cs="Arial"/>
          <w:b/>
          <w:bCs/>
          <w:sz w:val="20"/>
          <w:szCs w:val="20"/>
        </w:rPr>
      </w:pPr>
      <w:r>
        <w:rPr>
          <w:rFonts w:ascii="Arial" w:hAnsi="Arial" w:eastAsia="Calibri" w:cs="Arial"/>
          <w:b/>
          <w:bCs/>
          <w:sz w:val="20"/>
          <w:szCs w:val="20"/>
        </w:rPr>
        <w:t xml:space="preserve"> </w:t>
      </w:r>
    </w:p>
    <w:p>
      <w:pPr>
        <w:ind w:firstLine="720"/>
        <w:rPr>
          <w:rFonts w:ascii="Arial" w:hAnsi="Arial" w:cs="Arial"/>
          <w:b/>
          <w:bCs/>
          <w:sz w:val="20"/>
          <w:szCs w:val="20"/>
        </w:rPr>
      </w:pPr>
    </w:p>
    <w:p>
      <w:pPr>
        <w:ind w:firstLine="720"/>
        <w:rPr>
          <w:rFonts w:ascii="Arial" w:hAnsi="Arial" w:cs="Arial"/>
          <w:b/>
          <w:bCs/>
          <w:sz w:val="20"/>
          <w:szCs w:val="20"/>
        </w:rPr>
      </w:pPr>
    </w:p>
    <w:p>
      <w:pPr>
        <w:ind w:firstLine="720"/>
        <w:rPr>
          <w:rFonts w:ascii="Arial" w:hAnsi="Arial" w:cs="Arial"/>
          <w:b/>
          <w:bCs/>
          <w:sz w:val="20"/>
          <w:szCs w:val="20"/>
        </w:rPr>
      </w:pPr>
    </w:p>
    <w:p>
      <w:pPr>
        <w:ind w:firstLine="720"/>
        <w:rPr>
          <w:rFonts w:ascii="Arial" w:hAnsi="Arial" w:cs="Arial"/>
          <w:b/>
          <w:bCs/>
          <w:sz w:val="20"/>
          <w:szCs w:val="20"/>
        </w:rPr>
      </w:pPr>
    </w:p>
    <w:p>
      <w:pPr>
        <w:ind w:firstLine="720"/>
        <w:rPr>
          <w:rFonts w:ascii="Arial" w:hAnsi="Arial" w:cs="Arial"/>
          <w:sz w:val="20"/>
          <w:szCs w:val="20"/>
        </w:rPr>
      </w:pPr>
      <w:r>
        <w:rPr>
          <w:rFonts w:ascii="Arial" w:hAnsi="Arial" w:cs="Arial"/>
          <w:b/>
          <w:bCs/>
          <w:sz w:val="20"/>
          <w:szCs w:val="20"/>
        </w:rPr>
        <w:t>CXDI Control Software ( NE )</w:t>
      </w:r>
      <w:r>
        <w:rPr>
          <w:rFonts w:ascii="Arial" w:hAnsi="Arial" w:cs="Arial"/>
          <w:sz w:val="20"/>
          <w:szCs w:val="20"/>
        </w:rPr>
        <w:t xml:space="preserve"> </w:t>
      </w:r>
    </w:p>
    <w:p>
      <w:pPr>
        <w:ind w:firstLine="720"/>
        <w:rPr>
          <w:rFonts w:ascii="Arial" w:hAnsi="Arial" w:cs="Arial"/>
          <w:sz w:val="20"/>
          <w:szCs w:val="20"/>
        </w:rPr>
      </w:pPr>
      <w:r>
        <w:rPr>
          <w:rFonts w:ascii="Arial" w:hAnsi="Arial" w:cs="Arial"/>
          <w:sz w:val="20"/>
          <w:szCs w:val="20"/>
        </w:rPr>
        <w:t>Includes DICOM Print / Store / MWM / MPPS</w:t>
      </w:r>
    </w:p>
    <w:p>
      <w:pPr>
        <w:ind w:firstLine="720"/>
        <w:rPr>
          <w:rFonts w:ascii="Arial" w:hAnsi="Arial" w:cs="Arial"/>
          <w:sz w:val="20"/>
          <w:szCs w:val="20"/>
        </w:rPr>
      </w:pPr>
      <w:r>
        <w:rPr>
          <w:rFonts w:ascii="Arial" w:hAnsi="Arial" w:cs="Arial"/>
          <w:sz w:val="20"/>
          <w:szCs w:val="20"/>
        </w:rPr>
        <w:t>Generator Communication Module CXDI GCOM</w:t>
      </w:r>
    </w:p>
    <w:p>
      <w:pPr>
        <w:ind w:firstLine="720"/>
        <w:rPr>
          <w:rFonts w:ascii="Arial" w:hAnsi="Arial" w:cs="Arial"/>
          <w:sz w:val="20"/>
          <w:szCs w:val="20"/>
        </w:rPr>
      </w:pPr>
      <w:r>
        <w:rPr>
          <w:rFonts w:ascii="Arial" w:hAnsi="Arial" w:cs="Arial"/>
          <w:sz w:val="20"/>
          <w:szCs w:val="20"/>
        </w:rPr>
        <w:t>X-ray Interface Unit Infrared Data Communication Unit</w:t>
      </w:r>
    </w:p>
    <w:p>
      <w:pPr>
        <w:ind w:firstLine="720"/>
        <w:rPr>
          <w:rFonts w:ascii="Arial" w:hAnsi="Arial" w:cs="Arial"/>
          <w:sz w:val="20"/>
          <w:szCs w:val="20"/>
        </w:rPr>
      </w:pPr>
      <w:r>
        <w:rPr>
          <w:rFonts w:ascii="Arial" w:hAnsi="Arial" w:cs="Arial"/>
          <w:sz w:val="20"/>
          <w:szCs w:val="20"/>
        </w:rPr>
        <w:t>Battery Charger</w:t>
      </w:r>
    </w:p>
    <w:p>
      <w:pPr>
        <w:rPr>
          <w:rFonts w:ascii="Arial" w:hAnsi="Arial" w:eastAsia="Calibri" w:cs="Arial"/>
          <w:sz w:val="20"/>
          <w:szCs w:val="20"/>
        </w:rPr>
      </w:pPr>
      <w:r>
        <w:rPr>
          <w:rFonts w:ascii="Arial" w:hAnsi="Arial" w:eastAsia="Calibri" w:cs="Arial"/>
          <w:sz w:val="20"/>
          <w:szCs w:val="20"/>
        </w:rPr>
        <w:t xml:space="preserve"> </w:t>
      </w:r>
    </w:p>
    <w:p>
      <w:pPr>
        <w:ind w:firstLine="720"/>
        <w:rPr>
          <w:rFonts w:ascii="Arial" w:hAnsi="Arial" w:cs="Arial"/>
          <w:b/>
          <w:bCs/>
          <w:sz w:val="20"/>
          <w:szCs w:val="20"/>
        </w:rPr>
      </w:pPr>
      <w:r>
        <w:rPr>
          <w:rFonts w:ascii="Arial" w:hAnsi="Arial" w:cs="Arial"/>
          <w:b/>
          <w:bCs/>
          <w:sz w:val="20"/>
          <w:szCs w:val="20"/>
        </w:rPr>
        <w:t>Accessories Included: FOC</w:t>
      </w:r>
    </w:p>
    <w:p>
      <w:pPr>
        <w:ind w:firstLine="720"/>
        <w:rPr>
          <w:rFonts w:ascii="Arial" w:hAnsi="Arial" w:cs="Arial"/>
          <w:sz w:val="20"/>
          <w:szCs w:val="20"/>
        </w:rPr>
      </w:pPr>
      <w:r>
        <w:rPr>
          <w:rFonts w:ascii="Arial" w:hAnsi="Arial" w:cs="Arial"/>
          <w:sz w:val="20"/>
          <w:szCs w:val="20"/>
        </w:rPr>
        <w:t>1. Lead Gown 1 pc</w:t>
      </w:r>
    </w:p>
    <w:p>
      <w:pPr>
        <w:ind w:firstLine="720"/>
        <w:rPr>
          <w:rFonts w:ascii="Arial" w:hAnsi="Arial" w:cs="Arial"/>
          <w:sz w:val="20"/>
          <w:szCs w:val="20"/>
        </w:rPr>
      </w:pPr>
      <w:r>
        <w:rPr>
          <w:rFonts w:ascii="Arial" w:hAnsi="Arial" w:cs="Arial"/>
          <w:sz w:val="20"/>
          <w:szCs w:val="20"/>
        </w:rPr>
        <w:t>2. Thyroid Shield 1 pc</w:t>
      </w:r>
    </w:p>
    <w:p>
      <w:pPr>
        <w:ind w:firstLine="720"/>
        <w:rPr>
          <w:rFonts w:ascii="Arial" w:hAnsi="Arial" w:cs="Arial"/>
          <w:sz w:val="20"/>
          <w:szCs w:val="20"/>
        </w:rPr>
      </w:pPr>
      <w:r>
        <w:rPr>
          <w:rFonts w:ascii="Arial" w:hAnsi="Arial" w:cs="Arial"/>
          <w:sz w:val="20"/>
          <w:szCs w:val="20"/>
        </w:rPr>
        <w:t>3. Chest Thickness Caliper 1 pc</w:t>
      </w:r>
    </w:p>
    <w:p>
      <w:pPr>
        <w:ind w:firstLine="720"/>
        <w:rPr>
          <w:rFonts w:ascii="Arial" w:hAnsi="Arial" w:cs="Arial"/>
          <w:sz w:val="20"/>
          <w:szCs w:val="20"/>
        </w:rPr>
      </w:pPr>
      <w:r>
        <w:rPr>
          <w:rFonts w:ascii="Arial" w:hAnsi="Arial" w:cs="Arial"/>
          <w:sz w:val="20"/>
          <w:szCs w:val="20"/>
        </w:rPr>
        <w:t>4. Gonadal Shield 1 set</w:t>
      </w:r>
    </w:p>
    <w:p>
      <w:pPr>
        <w:pStyle w:val="5"/>
        <w:tabs>
          <w:tab w:val="left" w:pos="2700"/>
        </w:tabs>
        <w:rPr>
          <w:rFonts w:ascii="Arial" w:hAnsi="Arial" w:cs="Arial"/>
          <w:sz w:val="21"/>
          <w:szCs w:val="21"/>
        </w:rPr>
      </w:pPr>
    </w:p>
    <w:p>
      <w:pPr>
        <w:pStyle w:val="5"/>
        <w:tabs>
          <w:tab w:val="left" w:pos="2700"/>
        </w:tabs>
        <w:rPr>
          <w:rFonts w:ascii="Arial" w:hAnsi="Arial" w:cs="Arial"/>
          <w:b/>
          <w:sz w:val="21"/>
          <w:szCs w:val="21"/>
        </w:rPr>
      </w:pPr>
      <w:r>
        <w:rPr>
          <w:rFonts w:ascii="Arial" w:hAnsi="Arial" w:cs="Arial"/>
          <w:b/>
          <w:sz w:val="21"/>
          <w:szCs w:val="21"/>
        </w:rPr>
        <w:t xml:space="preserve">             </w:t>
      </w:r>
      <w:r>
        <w:rPr>
          <w:rFonts w:ascii="Arial" w:hAnsi="Arial" w:cs="Arial"/>
          <w:sz w:val="21"/>
          <w:szCs w:val="21"/>
        </w:rPr>
        <w:t>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Hospital Equipment.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bookmarkStart w:id="11" w:name="_Hlk153527441"/>
      <w:bookmarkStart w:id="12" w:name="_Hlk133492942"/>
      <w:r>
        <w:rPr>
          <w:rFonts w:ascii="Arial" w:hAnsi="Arial" w:cs="Arial"/>
          <w:b/>
          <w:sz w:val="21"/>
          <w:szCs w:val="21"/>
        </w:rPr>
        <w:t>January 6, 2024 – January 25, 2024; 8:00 am to 5:00pm and January 26, 2024</w:t>
      </w:r>
      <w:bookmarkEnd w:id="11"/>
      <w:r>
        <w:rPr>
          <w:rFonts w:ascii="Arial" w:hAnsi="Arial" w:cs="Arial"/>
          <w:b/>
          <w:sz w:val="21"/>
          <w:szCs w:val="21"/>
        </w:rPr>
        <w:t>; 8:00 am to 10:00am</w:t>
      </w:r>
      <w:bookmarkEnd w:id="12"/>
      <w:r>
        <w:rPr>
          <w:rFonts w:ascii="Arial" w:hAnsi="Arial" w:cs="Arial"/>
          <w:color w:val="FF0000"/>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January 6, 2024 – January 25, 2024; 8:00 am to 5:00pm and January 26,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Fifty Thousand Pesos (P50,000.00)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Pr>
          <w:rFonts w:ascii="Arial" w:hAnsi="Arial" w:cs="Arial"/>
          <w:b/>
          <w:sz w:val="21"/>
          <w:szCs w:val="21"/>
        </w:rPr>
        <w:t>January 15, 2024; 2:00 pm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January 26,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January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9"/>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bookmarkEnd w:id="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4"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4"/>
    <w:p>
      <w:pPr>
        <w:jc w:val="both"/>
        <w:rPr>
          <w:rFonts w:ascii="Arial" w:hAnsi="Arial" w:cs="Arial"/>
          <w:sz w:val="21"/>
          <w:szCs w:val="21"/>
        </w:rPr>
      </w:pPr>
    </w:p>
    <w:p>
      <w:pPr>
        <w:jc w:val="both"/>
        <w:rPr>
          <w:rFonts w:ascii="Arial" w:hAnsi="Arial" w:cs="Arial"/>
          <w:color w:val="0000FF"/>
          <w:sz w:val="21"/>
          <w:szCs w:val="21"/>
          <w:u w:val="single"/>
        </w:rPr>
      </w:pPr>
    </w:p>
    <w:bookmarkEnd w:id="4"/>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53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BA9"/>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6DC9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Body Text"/>
    <w:basedOn w:val="1"/>
    <w:link w:val="11"/>
    <w:qFormat/>
    <w:uiPriority w:val="0"/>
    <w:pPr>
      <w:jc w:val="both"/>
    </w:p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unhideWhenUsed/>
    <w:uiPriority w:val="99"/>
    <w:pPr>
      <w:tabs>
        <w:tab w:val="center" w:pos="4680"/>
        <w:tab w:val="right" w:pos="9360"/>
      </w:tabs>
    </w:pPr>
  </w:style>
  <w:style w:type="character" w:styleId="8">
    <w:name w:val="Hyperlink"/>
    <w:uiPriority w:val="0"/>
    <w:rPr>
      <w:color w:val="0000FF"/>
      <w:u w:val="single"/>
    </w:rPr>
  </w:style>
  <w:style w:type="table" w:styleId="9">
    <w:name w:val="Table Grid"/>
    <w:basedOn w:val="3"/>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eastAsia="Times New Roman" w:cs="Tahoma"/>
      <w:sz w:val="16"/>
      <w:szCs w:val="16"/>
    </w:rPr>
  </w:style>
  <w:style w:type="character" w:customStyle="1" w:styleId="11">
    <w:name w:val="Body Text Char"/>
    <w:basedOn w:val="2"/>
    <w:link w:val="5"/>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7"/>
    <w:uiPriority w:val="99"/>
    <w:rPr>
      <w:rFonts w:ascii="Times New Roman" w:hAnsi="Times New Roman" w:eastAsia="Times New Roman" w:cs="Times New Roman"/>
      <w:sz w:val="24"/>
      <w:szCs w:val="24"/>
    </w:rPr>
  </w:style>
  <w:style w:type="character" w:customStyle="1" w:styleId="14">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3</Pages>
  <Words>968</Words>
  <Characters>5523</Characters>
  <Lines>46</Lines>
  <Paragraphs>12</Paragraphs>
  <TotalTime>77</TotalTime>
  <ScaleCrop>false</ScaleCrop>
  <LinksUpToDate>false</LinksUpToDate>
  <CharactersWithSpaces>6479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2024-01-05T03:07:00Z</dcterms:created>
  <dc:creator>user</dc:creator>
  <cp:lastModifiedBy>hp</cp:lastModifiedBy>
  <cp:lastPrinted>2024-01-04T07:19:00Z</cp:lastPrinted>
  <dcterms:modified xsi:type="dcterms:W3CDTF">2024-01-05T09:34:59Z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7CA2A5A5BE1B48CBB31B6346C4B1660C_12</vt:lpwstr>
  </property>
</Properties>
</file>